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DIRECCIÓN DE CINOTECNIA– DIRECCIÓN PROVINCIAL DE VETERINARIA, BROMATOLOGÍA Y CINOTECNIA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capacitación básica en cinotecnia.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 </w:t>
      </w:r>
    </w:p>
    <w:p w:rsidR="00000000" w:rsidDel="00000000" w:rsidP="00000000" w:rsidRDefault="00000000" w:rsidRPr="00000000" w14:paraId="00000006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El presente curso de capacitación es eje vertebral de una planificación integral de desarrollo de las áreas cinotécnicas de este Ministerio de Seguridad de la Provincia de Buenos Aires. </w:t>
      </w:r>
    </w:p>
    <w:p w:rsidR="00000000" w:rsidDel="00000000" w:rsidP="00000000" w:rsidRDefault="00000000" w:rsidRPr="00000000" w14:paraId="00000007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                      La capacitación planteada se determinó con el objetivo de responder a un conjunto de acciones que requieren ser ejecutadas en forma sincrónica, ya que una da respuesta a la otra, y su conjunto permite que se vayan alcanzando los objetivos de corto, mediano y largo plazo. </w:t>
      </w:r>
    </w:p>
    <w:p w:rsidR="00000000" w:rsidDel="00000000" w:rsidP="00000000" w:rsidRDefault="00000000" w:rsidRPr="00000000" w14:paraId="00000008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                       La incorporación de canes, su adiestramiento, y los diferentes niveles de capacitación del personal asignado a su conducción, son las operaciones que se retroalimentan, una dando respuesta a la otra, conformando así un programa de desarrollo gradual y permanente, que bajo premisas realizables permitirá alcanzar los logros bajo un modelo de optimización de recursos. </w:t>
      </w:r>
    </w:p>
    <w:p w:rsidR="00000000" w:rsidDel="00000000" w:rsidP="00000000" w:rsidRDefault="00000000" w:rsidRPr="00000000" w14:paraId="00000009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                       Esta planificación integral responde prioritariamente a nutrir inicialmente a aquellas especialidades que la superioridad considera prioritario, en virtud de las demandas institucionales planteadas para dar respuesta a las políticas de seguridad en la provincia.</w:t>
      </w:r>
    </w:p>
    <w:p w:rsidR="00000000" w:rsidDel="00000000" w:rsidP="00000000" w:rsidRDefault="00000000" w:rsidRPr="00000000" w14:paraId="0000000A">
      <w:pPr>
        <w:pStyle w:val="Heading1"/>
        <w:spacing w:after="0" w:before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</w:p>
    <w:p w:rsidR="00000000" w:rsidDel="00000000" w:rsidP="00000000" w:rsidRDefault="00000000" w:rsidRPr="00000000" w14:paraId="0000000D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La propuesta está destinada al personal de las Superintendencias que quieran desarrollar la actividad, involucrándose a la Superintendencia de Seguridad Vial, Superintendencia de Planeamiento y Operaciones Policiales, Superintendencia de Seguridad Rural, Superintendencias de Seguridad Regional, Superintendencia de Investigaciones del Tráfico de Drogas y Crimen Organizado, Unidad Táctica de Operaciones Inmediatas, Subcoordinación General de Policía.</w:t>
      </w:r>
    </w:p>
    <w:p w:rsidR="00000000" w:rsidDel="00000000" w:rsidP="00000000" w:rsidRDefault="00000000" w:rsidRPr="00000000" w14:paraId="0000000E">
      <w:pPr>
        <w:pStyle w:val="Heading1"/>
        <w:spacing w:after="0" w:before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presencial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tendrá un total de 84 (ochenta y cuatro) horas reloj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4"/>
          <w:szCs w:val="24"/>
          <w:rtl w:val="0"/>
        </w:rPr>
        <w:t xml:space="preserve">una (01) edición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inicio 01/04/2026 – finalización: 01/07/2026.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(veinte) vacantes por edición.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color w:val="0000ff"/>
            <w:sz w:val="24"/>
            <w:szCs w:val="24"/>
            <w:u w:val="single"/>
            <w:rtl w:val="0"/>
          </w:rPr>
          <w:t xml:space="preserve">direccioncinotecnia@mseg.gba.gov.ar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 – (221) – 4914892.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reccioncinotecnia@mseg.gba.gov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YsE27YFIumrHbWGdaj3vsL1a3A==">CgMxLjA4AHIhMTlfQ0pYcVJxQ25oNkNoMk4zNFA5X0I4anVpOW10eXg0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2026-02-04T20:46:00Z</dcterms:created>
  <dc:creator>Lau FERRARI</dc:creator>
</cp:coreProperties>
</file>